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Объем образовательной деятельности, финансовое обеспечение которой 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физических и</w:t>
      </w:r>
      <w:r>
        <w:rPr>
          <w:rFonts w:cs="Times New Roman" w:ascii="Times New Roman" w:hAnsi="Times New Roman"/>
          <w:b/>
          <w:bCs/>
          <w:sz w:val="26"/>
          <w:szCs w:val="26"/>
        </w:rPr>
        <w:t>(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или) юридических лиц на </w:t>
      </w:r>
      <w:r>
        <w:rPr>
          <w:rFonts w:cs="Times New Roman" w:ascii="Times New Roman" w:hAnsi="Times New Roman"/>
          <w:b/>
          <w:bCs/>
          <w:sz w:val="26"/>
          <w:szCs w:val="26"/>
        </w:rPr>
        <w:t>2023 год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b/>
          <w:bCs/>
          <w:sz w:val="26"/>
          <w:szCs w:val="26"/>
        </w:rPr>
      </w:r>
    </w:p>
    <w:tbl>
      <w:tblPr>
        <w:tblStyle w:val="a3"/>
        <w:tblW w:w="8340" w:type="dxa"/>
        <w:jc w:val="left"/>
        <w:tblInd w:w="1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5"/>
        <w:gridCol w:w="4755"/>
        <w:gridCol w:w="2280"/>
      </w:tblGrid>
      <w:tr>
        <w:trPr>
          <w:trHeight w:val="735" w:hRule="atLeast"/>
        </w:trPr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показателей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205" w:leader="none"/>
              </w:tabs>
              <w:suppressAutoHyphens w:val="true"/>
              <w:bidi w:val="0"/>
              <w:spacing w:lineRule="auto" w:line="240" w:before="0" w:after="0"/>
              <w:ind w:left="0" w:right="-57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Объем образователь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ной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  деятельности, тыс.руб.</w:t>
            </w:r>
          </w:p>
        </w:tc>
      </w:tr>
      <w:tr>
        <w:trPr>
          <w:trHeight w:val="389" w:hRule="atLeast"/>
        </w:trPr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Объем средств учреждения-всего, в т.ч.: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68915,36</w:t>
            </w:r>
          </w:p>
        </w:tc>
      </w:tr>
      <w:tr>
        <w:trPr>
          <w:trHeight w:val="307" w:hRule="atLeast"/>
        </w:trPr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Собственные доходы, в т.ч.: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3596,26</w:t>
            </w:r>
          </w:p>
        </w:tc>
      </w:tr>
      <w:tr>
        <w:trPr>
          <w:trHeight w:val="367" w:hRule="atLeast"/>
        </w:trPr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собственности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</w:tr>
      <w:tr>
        <w:trPr>
          <w:trHeight w:val="299" w:hRule="atLeast"/>
        </w:trPr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образовательных услуг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2527,69</w:t>
            </w:r>
          </w:p>
        </w:tc>
      </w:tr>
      <w:tr>
        <w:trPr>
          <w:trHeight w:val="299" w:hRule="atLeast"/>
        </w:trPr>
        <w:tc>
          <w:tcPr>
            <w:tcW w:w="13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7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доходы</w:t>
            </w:r>
          </w:p>
        </w:tc>
        <w:tc>
          <w:tcPr>
            <w:tcW w:w="2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888,57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 субъекта РФ: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65319,10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Субсидия на выполнение государственного задания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55193,06</w:t>
            </w:r>
          </w:p>
        </w:tc>
      </w:tr>
      <w:tr>
        <w:trPr>
          <w:trHeight w:val="389" w:hRule="atLeast"/>
        </w:trPr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на иные цели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5430,96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Публичные обязательства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4695,08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f469c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f469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24b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LibreOffice/7.3.6.2$Windows_X86_64 LibreOffice_project/c28ca90fd6e1a19e189fc16c05f8f8924961e12e</Application>
  <AppVersion>15.0000</AppVersion>
  <Pages>1</Pages>
  <Words>90</Words>
  <Characters>628</Characters>
  <CharactersWithSpaces>689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2021-07-27T04:48:00Z</dcterms:created>
  <dc:creator>Admin</dc:creator>
  <dc:description/>
  <dc:language>ru-RU</dc:language>
  <cp:lastModifiedBy/>
  <cp:lastPrinted>2021-07-27T05:36:00Z</cp:lastPrinted>
  <dcterms:modified xsi:type="dcterms:W3CDTF">2024-03-20T12:47:20Z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